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1.1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电路</w:t>
            </w: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的基本概念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1.2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电路的基本物理量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K1: </w:t>
            </w:r>
            <w:r>
              <w:rPr>
                <w:rFonts w:hint="eastAsia" w:ascii="宋体" w:hAnsi="宋体"/>
                <w:sz w:val="18"/>
              </w:rPr>
              <w:t>电路的基本概念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0101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01A2</w:t>
            </w:r>
          </w:p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0101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K2: </w:t>
            </w:r>
            <w:r>
              <w:rPr>
                <w:rFonts w:hint="eastAsia" w:ascii="宋体" w:hAnsi="宋体"/>
                <w:sz w:val="18"/>
              </w:rPr>
              <w:t>电路的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基本</w:t>
            </w:r>
            <w:r>
              <w:rPr>
                <w:rFonts w:hint="eastAsia" w:ascii="宋体" w:hAnsi="宋体"/>
                <w:sz w:val="18"/>
              </w:rPr>
              <w:t>物理量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0101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01A2</w:t>
            </w:r>
          </w:p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0101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掌握电路的基本物理量及其参考方向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基本物理量参考方向的确定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25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pStyle w:val="1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课堂组织</w:t>
            </w:r>
          </w:p>
          <w:p>
            <w:pPr>
              <w:pStyle w:val="1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导入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电路与电路模型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电路的基本物理量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K2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sz w:val="21"/>
                <w:szCs w:val="24"/>
              </w:rPr>
            </w:pPr>
            <w:r>
              <w:rPr>
                <w:rFonts w:ascii="Times New Roman" w:hAnsi="Times New Roman" w:eastAsia="宋体" w:cs="Times New Roman"/>
                <w:sz w:val="21"/>
                <w:szCs w:val="24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1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sz w:val="21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4"/>
              </w:rPr>
              <w:t>电路的基本元件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sz w:val="21"/>
                <w:szCs w:val="24"/>
              </w:rPr>
            </w:pPr>
            <w:r>
              <w:rPr>
                <w:rFonts w:ascii="Times New Roman" w:hAnsi="Times New Roman" w:eastAsia="宋体" w:cs="Times New Roman"/>
                <w:sz w:val="21"/>
                <w:szCs w:val="24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1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1"/>
                <w:szCs w:val="24"/>
              </w:rPr>
              <w:t>电路的工作状态</w:t>
            </w:r>
            <w:r>
              <w:rPr>
                <w:rFonts w:ascii="Times New Roman" w:hAnsi="Times New Roman" w:eastAsia="宋体" w:cs="Times New Roman"/>
                <w:sz w:val="21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K1: </w:t>
            </w:r>
            <w:r>
              <w:rPr>
                <w:rFonts w:hint="eastAsia" w:ascii="宋体" w:hAnsi="宋体"/>
                <w:sz w:val="18"/>
              </w:rPr>
              <w:t>电路的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基本元件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0101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01A2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0101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02C1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K2: </w:t>
            </w:r>
            <w:r>
              <w:rPr>
                <w:rFonts w:hint="eastAsia" w:ascii="宋体" w:hAnsi="宋体"/>
                <w:sz w:val="18"/>
              </w:rPr>
              <w:t>电路的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工作状态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0101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01A2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0101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02C1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电路的基本元件及伏安特性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L、C伏安特性；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65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电路的基本元件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K2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25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电路的基本工作状态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K2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hint="eastAsia" w:ascii="黑体" w:hAnsi="黑体" w:eastAsia="黑体"/>
          <w:b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b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1"/>
                <w:szCs w:val="24"/>
              </w:rPr>
              <w:t>1.5</w:t>
            </w:r>
            <w:r>
              <w:rPr>
                <w:rFonts w:hint="eastAsia" w:ascii="Times New Roman" w:hAnsi="Times New Roman" w:eastAsia="宋体" w:cs="Times New Roman"/>
                <w:sz w:val="21"/>
                <w:szCs w:val="24"/>
              </w:rPr>
              <w:t>基尔霍夫定律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K1: </w:t>
            </w:r>
            <w:r>
              <w:rPr>
                <w:rFonts w:hint="eastAsia" w:ascii="宋体" w:hAnsi="宋体"/>
                <w:sz w:val="18"/>
              </w:rPr>
              <w:t>基尔霍夫定律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0206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01A2</w:t>
            </w:r>
          </w:p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0206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根据定律列两种表达式；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用回路电压定律列表达式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基尔霍夫定律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spacing w:line="700" w:lineRule="exact"/>
        <w:jc w:val="center"/>
        <w:rPr>
          <w:rFonts w:ascii="华文行楷" w:eastAsia="华文行楷"/>
          <w:sz w:val="44"/>
          <w:szCs w:val="44"/>
        </w:rPr>
      </w:pPr>
    </w:p>
    <w:p>
      <w:pPr>
        <w:spacing w:line="700" w:lineRule="exact"/>
        <w:jc w:val="center"/>
        <w:rPr>
          <w:rFonts w:ascii="华文行楷" w:eastAsia="华文行楷"/>
          <w:sz w:val="48"/>
          <w:szCs w:val="48"/>
        </w:rPr>
      </w:pPr>
      <w:r>
        <w:rPr>
          <w:rFonts w:hint="eastAsia" w:ascii="华文行楷" w:eastAsia="华文行楷"/>
          <w:sz w:val="48"/>
          <w:szCs w:val="48"/>
        </w:rPr>
        <w:t>实 验 教 案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427"/>
        <w:gridCol w:w="1428"/>
        <w:gridCol w:w="1428"/>
        <w:gridCol w:w="1428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实验名称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电压、电位的测量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实验性质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认识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实验方式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操作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实验时数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每批组数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每组人数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实验班级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实验目标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及要求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通过实验验证电位的相对性、电压的绝对性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解读《大国工匠》精神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实验重点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实验线路的连接、数据的测量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实验器材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可调直流稳压电源、万用表、直流数字电压表、实验线路板（DGJ-03）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知识讲解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及注意事项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一、实验原理 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一个闭合的电路中，各点电位的高低视为所选的电位参考电的不同变化，单任意两点间的电位差则是绝对的，它不因参考点的变化而变化。据此性质，我们可以用一只电压表测出电路中的各点电位和两点之间的电压。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注意事项：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1.先连接电路再测量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2.电位测量过程中注意红黑表笔的接线</w:t>
            </w:r>
          </w:p>
          <w:p>
            <w:pPr>
              <w:rPr>
                <w:sz w:val="18"/>
                <w:szCs w:val="18"/>
              </w:rPr>
            </w:pPr>
          </w:p>
        </w:tc>
      </w:tr>
    </w:tbl>
    <w:p>
      <w: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7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4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</w:t>
            </w:r>
          </w:p>
          <w:p>
            <w:pPr>
              <w:jc w:val="center"/>
            </w:pPr>
            <w:r>
              <w:rPr>
                <w:rFonts w:hint="eastAsia"/>
                <w:sz w:val="24"/>
              </w:rPr>
              <w:t>操作步骤</w:t>
            </w:r>
          </w:p>
        </w:tc>
        <w:tc>
          <w:tcPr>
            <w:tcW w:w="7504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按图接线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2、调节直流稳压输出令U1=6V，U2=12V，分别将两路直流稳压电源接入电路。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3、以A点为参考点，分别测出下表中的各电压、电位值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4、以D点为参考点，分别测出下表中的各电压、电位值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小结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以a与f为参考点时，所测各点的电位是不同的，但计算的两点之间的电压是相等的，且沿回路一周，ΣU=0。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用具体</w:t>
            </w:r>
            <w:r>
              <w:rPr>
                <w:sz w:val="18"/>
                <w:szCs w:val="18"/>
              </w:rPr>
              <w:t>人</w:t>
            </w:r>
            <w:r>
              <w:rPr>
                <w:rFonts w:hint="eastAsia"/>
                <w:sz w:val="18"/>
                <w:szCs w:val="18"/>
              </w:rPr>
              <w:t>物事迹解读《大国工匠》精神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学生反馈的疑难问题</w:t>
            </w:r>
          </w:p>
        </w:tc>
        <w:tc>
          <w:tcPr>
            <w:tcW w:w="7504" w:type="dxa"/>
            <w:shd w:val="clear" w:color="auto" w:fill="auto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及解决问题情况</w:t>
            </w:r>
          </w:p>
        </w:tc>
        <w:tc>
          <w:tcPr>
            <w:tcW w:w="7504" w:type="dxa"/>
            <w:shd w:val="clear" w:color="auto" w:fill="auto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实验小结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及体会</w:t>
            </w:r>
          </w:p>
        </w:tc>
        <w:tc>
          <w:tcPr>
            <w:tcW w:w="7504" w:type="dxa"/>
            <w:shd w:val="clear" w:color="auto" w:fill="auto"/>
          </w:tcPr>
          <w:p/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1.6.1电路的等效变换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K1: </w:t>
            </w:r>
            <w:r>
              <w:rPr>
                <w:rFonts w:hint="eastAsia" w:ascii="宋体" w:hAnsi="宋体"/>
                <w:sz w:val="18"/>
              </w:rPr>
              <w:t>电路的基本分析方法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0101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01A2</w:t>
            </w:r>
          </w:p>
          <w:p>
            <w:pPr>
              <w:widowControl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0101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02C1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电阻的串并联变换，电阻的分流分压作用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电路连接方式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判断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、两种实际电源的等效变换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10分钟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电阻的串并联及其等效变换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电压源与电流源的等效变换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1.6.2</w:t>
            </w: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支路电流法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K1: </w:t>
            </w:r>
            <w:r>
              <w:rPr>
                <w:rFonts w:hint="eastAsia" w:ascii="宋体" w:hAnsi="宋体"/>
                <w:sz w:val="18"/>
              </w:rPr>
              <w:t>电路的基本分析方法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0101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01A2</w:t>
            </w:r>
          </w:p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0101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支路电流法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的</w:t>
            </w:r>
            <w:r>
              <w:rPr>
                <w:rFonts w:asciiTheme="minorEastAsia" w:hAnsiTheme="minorEastAsia"/>
                <w:sz w:val="21"/>
                <w:szCs w:val="21"/>
              </w:rPr>
              <w:t>应用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列方程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支路电流法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 xml:space="preserve">1.6.3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叠加原理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K1: </w:t>
            </w:r>
            <w:r>
              <w:rPr>
                <w:rFonts w:hint="eastAsia" w:ascii="宋体" w:hAnsi="宋体"/>
                <w:sz w:val="18"/>
              </w:rPr>
              <w:t>电路的基本分析方法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01A2</w:t>
            </w:r>
          </w:p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线性电路的叠加定理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线性电路的叠加定理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叠加原理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ind w:right="452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1.6.4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戴维南定理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K1: </w:t>
            </w:r>
            <w:r>
              <w:rPr>
                <w:rFonts w:hint="eastAsia" w:ascii="宋体" w:hAnsi="宋体"/>
                <w:sz w:val="18"/>
              </w:rPr>
              <w:t>电路的基本分析方法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01A2</w:t>
            </w:r>
          </w:p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戴维南定理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开路电压、等效电阻计算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戴维南定理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正弦交流电的基本概念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K1: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理解正弦交流电的三要素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</w:t>
            </w:r>
            <w:r>
              <w:rPr>
                <w:rFonts w:ascii="宋体" w:hAnsi="宋体"/>
                <w:sz w:val="18"/>
              </w:rPr>
              <w:t>D</w:t>
            </w:r>
            <w:r>
              <w:rPr>
                <w:rFonts w:hint="eastAsia" w:ascii="宋体" w:hAnsi="宋体"/>
                <w:sz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K2:了解同频率的正弦量相加减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</w:t>
            </w:r>
            <w:r>
              <w:rPr>
                <w:rFonts w:ascii="宋体" w:hAnsi="宋体"/>
                <w:sz w:val="18"/>
              </w:rPr>
              <w:t>D</w:t>
            </w:r>
            <w:r>
              <w:rPr>
                <w:rFonts w:hint="eastAsia" w:ascii="宋体" w:hAnsi="宋体"/>
                <w:sz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正弦交流电的三要素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画波形并计算瞬时值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正弦交流电的基本概念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2正弦量的相量表示法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K1: 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理解正弦量的相量表示法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</w:t>
            </w:r>
            <w:r>
              <w:rPr>
                <w:rFonts w:ascii="宋体" w:hAnsi="宋体"/>
                <w:sz w:val="18"/>
              </w:rPr>
              <w:t>D</w:t>
            </w:r>
            <w:r>
              <w:rPr>
                <w:rFonts w:hint="eastAsia" w:ascii="宋体" w:hAnsi="宋体"/>
                <w:sz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画相量图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</w:t>
            </w:r>
            <w:r>
              <w:rPr>
                <w:rFonts w:ascii="宋体" w:hAnsi="宋体"/>
                <w:sz w:val="18"/>
              </w:rPr>
              <w:t>D</w:t>
            </w:r>
            <w:r>
              <w:rPr>
                <w:rFonts w:hint="eastAsia" w:ascii="宋体" w:hAnsi="宋体"/>
                <w:sz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正弦量的相量表示法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画相量图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80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正弦交流电的基本概念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单一参数的正弦交流电路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K1: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理解理想电阻元件、电感元件、电容元件的交流约束关系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</w:t>
            </w:r>
            <w:r>
              <w:rPr>
                <w:rFonts w:ascii="宋体" w:hAnsi="宋体"/>
                <w:sz w:val="18"/>
              </w:rPr>
              <w:t>D</w:t>
            </w:r>
            <w:r>
              <w:rPr>
                <w:rFonts w:hint="eastAsia" w:ascii="宋体" w:hAnsi="宋体"/>
                <w:sz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理解理想电阻元件、电感元件、电容元件的交流约束关系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理解理想电阻元件、电感元件、电容元件的交流约束关系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单一参数的正弦交流电路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hint="default" w:asciiTheme="minorEastAsia" w:hAnsiTheme="minorEastAsia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4  </w:t>
            </w:r>
            <w:r>
              <w:rPr>
                <w:rFonts w:hint="eastAsia" w:asciiTheme="minorEastAsia" w:hAnsiTheme="minorEastAsia"/>
                <w:i/>
                <w:iCs/>
                <w:sz w:val="24"/>
                <w:szCs w:val="24"/>
                <w:lang w:val="en-US" w:eastAsia="zh-CN"/>
              </w:rPr>
              <w:t xml:space="preserve"> RLC</w:t>
            </w:r>
            <w:r>
              <w:rPr>
                <w:rFonts w:hint="eastAsia" w:asciiTheme="minorEastAsia" w:hAnsiTheme="minorEastAsia"/>
                <w:i w:val="0"/>
                <w:iCs w:val="0"/>
                <w:sz w:val="24"/>
                <w:szCs w:val="24"/>
                <w:lang w:val="en-US" w:eastAsia="zh-CN"/>
              </w:rPr>
              <w:t>串联电路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K1: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RLC串联电路中电流与电压之间的关系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</w:t>
            </w:r>
            <w:r>
              <w:rPr>
                <w:rFonts w:ascii="宋体" w:hAnsi="宋体"/>
                <w:sz w:val="18"/>
              </w:rPr>
              <w:t>D</w:t>
            </w:r>
            <w:r>
              <w:rPr>
                <w:rFonts w:hint="eastAsia" w:ascii="宋体" w:hAnsi="宋体"/>
                <w:sz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RLC串联电路中电流与电压之间的关系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RLC串联电路中电流与电压之间的关系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电阻、电感和电容元件串联的交流电路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w w:val="90"/>
                <w:sz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3.5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功率因数的提高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K1: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理解正弦交流电路的各种功率；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</w:t>
            </w:r>
            <w:r>
              <w:rPr>
                <w:rFonts w:ascii="宋体" w:hAnsi="宋体"/>
                <w:sz w:val="18"/>
              </w:rPr>
              <w:t>D</w:t>
            </w:r>
            <w:r>
              <w:rPr>
                <w:rFonts w:hint="eastAsia" w:ascii="宋体" w:hAnsi="宋体"/>
                <w:sz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K2:理解提高功率因数的重要意义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</w:t>
            </w:r>
            <w:r>
              <w:rPr>
                <w:rFonts w:ascii="宋体" w:hAnsi="宋体"/>
                <w:sz w:val="18"/>
              </w:rPr>
              <w:t>D</w:t>
            </w:r>
            <w:r>
              <w:rPr>
                <w:rFonts w:hint="eastAsia" w:ascii="宋体" w:hAnsi="宋体"/>
                <w:sz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正弦交流电路的各种功率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正弦交流电路的各种功率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功率因数的提高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spacing w:line="700" w:lineRule="exact"/>
        <w:jc w:val="center"/>
        <w:rPr>
          <w:rFonts w:hint="eastAsia" w:ascii="华文行楷" w:eastAsia="华文行楷"/>
          <w:sz w:val="48"/>
          <w:szCs w:val="48"/>
        </w:rPr>
      </w:pPr>
      <w:r>
        <w:rPr>
          <w:rFonts w:hint="eastAsia" w:ascii="华文行楷" w:eastAsia="华文行楷"/>
          <w:sz w:val="48"/>
          <w:szCs w:val="48"/>
        </w:rPr>
        <w:t>实 验 教 案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427"/>
        <w:gridCol w:w="1428"/>
        <w:gridCol w:w="1428"/>
        <w:gridCol w:w="1428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实验名称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日光灯电路及功率因数的提高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实验性质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认识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实验方式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操作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实验时数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每批组数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每组人数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朱敏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实验班级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第三批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第四批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实验目标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及要求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掌握日光灯线路的接线，理解提高功率因数的意义和方法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激发学生热爱工作、热爱学校的热情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实验重点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实验线路的连接、数据的测量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实验器材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交流电压表、交流电流表、功率表、自耦调压器、镇流器、启辉器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电容器、白炽灯、日光灯灯管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知识讲解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及注意事项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一、实验原理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1、在单项正弦交流电路中，用交流电流表测得各直流的电流值，用电压表测得各电压值，用功率表测得各电功率。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2、利用在负载两端并联电容器的方法提高电容，因为日光灯是呈现感性的，并联电容器之后可以提高整个电路得功率因数。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二、注意事项：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 xml:space="preserve">注意用电安全； </w:t>
            </w:r>
          </w:p>
        </w:tc>
      </w:tr>
    </w:tbl>
    <w:p>
      <w:pPr>
        <w:jc w:val="center"/>
        <w:rPr>
          <w:rFonts w:ascii="黑体" w:hAnsi="黑体" w:eastAsia="黑体"/>
          <w:b/>
          <w:sz w:val="32"/>
          <w:szCs w:val="32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7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4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操作步骤</w:t>
            </w:r>
          </w:p>
        </w:tc>
        <w:tc>
          <w:tcPr>
            <w:tcW w:w="7504" w:type="dxa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2、接通电源之前，应先将自耦变压器手柄放在零位上；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3、注意功率表的使用及读数</w:t>
            </w:r>
          </w:p>
          <w:p>
            <w:pPr>
              <w:tabs>
                <w:tab w:val="left" w:pos="0"/>
              </w:tabs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先不接入电容器，使日光灯点亮，记下电流表，电压表和功率表的读数，填入表中。</w:t>
            </w:r>
          </w:p>
          <w:p>
            <w:pPr>
              <w:tabs>
                <w:tab w:val="left" w:pos="0"/>
              </w:tabs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将电容器接入，以0.5</w:t>
            </w:r>
            <w:r>
              <w:rPr>
                <w:color w:val="000000"/>
                <w:sz w:val="24"/>
                <w:szCs w:val="21"/>
              </w:rPr>
              <w:t>μ</w:t>
            </w:r>
            <w:r>
              <w:rPr>
                <w:rFonts w:hint="eastAsia"/>
                <w:color w:val="000000"/>
                <w:sz w:val="24"/>
                <w:szCs w:val="21"/>
              </w:rPr>
              <w:t>F为级差，逐步并入电容，记下电流表，电压表和功率表的读数，填入表中。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小结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1.感性负载并入电容，负载消耗的功率没变，但电路的总电流下降了。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说明功率因素提高了。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 xml:space="preserve">  2．随着电容的增加，电路的总电流下降到一定值后，又上升了，说明电路的性质由感性负载又变成了容性负载。</w:t>
            </w:r>
          </w:p>
          <w:p>
            <w:pPr>
              <w:rPr>
                <w:color w:val="000000"/>
                <w:sz w:val="24"/>
                <w:szCs w:val="21"/>
              </w:rPr>
            </w:pPr>
          </w:p>
          <w:p>
            <w:pPr>
              <w:rPr>
                <w:color w:val="000000"/>
                <w:sz w:val="24"/>
                <w:szCs w:val="21"/>
              </w:rPr>
            </w:pP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介绍</w:t>
            </w:r>
            <w:r>
              <w:rPr>
                <w:color w:val="000000"/>
                <w:sz w:val="24"/>
                <w:szCs w:val="21"/>
              </w:rPr>
              <w:t>平等机会，指社会上每个人获得发展之机会并不因其种族、出身、贫富、性别等因素而有所差异。平等机会与法律之前人人平等之概念有关。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学生反馈的疑难问题</w:t>
            </w:r>
          </w:p>
        </w:tc>
        <w:tc>
          <w:tcPr>
            <w:tcW w:w="7504" w:type="dxa"/>
            <w:shd w:val="clear" w:color="auto" w:fill="auto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教师指导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及解决问题情况</w:t>
            </w:r>
          </w:p>
        </w:tc>
        <w:tc>
          <w:tcPr>
            <w:tcW w:w="7504" w:type="dxa"/>
            <w:shd w:val="clear" w:color="auto" w:fill="auto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实验小结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及体会</w:t>
            </w:r>
          </w:p>
        </w:tc>
        <w:tc>
          <w:tcPr>
            <w:tcW w:w="7504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</w:tbl>
    <w:p>
      <w:pPr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4发电、输电及企业配电</w:t>
            </w:r>
          </w:p>
          <w:p>
            <w:pPr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4.5  安全用电</w:t>
            </w:r>
          </w:p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K1: 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发电、输电以及企业配电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</w:t>
            </w:r>
            <w:r>
              <w:rPr>
                <w:rFonts w:ascii="宋体" w:hAnsi="宋体"/>
                <w:sz w:val="18"/>
              </w:rPr>
              <w:t>D</w:t>
            </w:r>
            <w:r>
              <w:rPr>
                <w:rFonts w:hint="eastAsia" w:ascii="宋体" w:hAnsi="宋体"/>
                <w:sz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leftChars="0" w:hanging="360"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</w:t>
            </w: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asciiTheme="minorEastAsia" w:hAnsiTheme="minorEastAsia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安全用电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02</w:t>
            </w:r>
            <w:r>
              <w:rPr>
                <w:rFonts w:ascii="宋体" w:hAnsi="宋体"/>
                <w:sz w:val="18"/>
              </w:rPr>
              <w:t>D</w:t>
            </w:r>
            <w:r>
              <w:rPr>
                <w:rFonts w:hint="eastAsia" w:ascii="宋体" w:hAnsi="宋体"/>
                <w:sz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安全用电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安全用电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发电、输电及工业企业配电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供配电与安全用电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 xml:space="preserve">7.1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半导体二极管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及其模型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K1: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理解本征半导体、杂质半导体的概念；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K2:理解半导体二极管的结构、特性与主要参数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K3:理解半导体二极管的工作原理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理解半导体二极管的结构、特性与主要参数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理解半导体二极管的结构、特性与主要参数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半导体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二极管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2</w:t>
            </w:r>
          </w:p>
          <w:p>
            <w:pPr>
              <w:jc w:val="center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7.</w:t>
            </w: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半导体三极管</w:t>
            </w: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及其模型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ind w:left="360" w:hanging="360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K1: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理解半导体三极管的结构、特性与主要参数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K2：理解半导体三极管的工作原理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理解半导体三极管的结构、特性与主要参数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理解半导体三极管的结构、特性与主要参数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半导体三极管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spacing w:line="700" w:lineRule="exact"/>
        <w:jc w:val="center"/>
        <w:rPr>
          <w:rFonts w:hint="eastAsia" w:ascii="华文行楷" w:eastAsia="华文行楷"/>
          <w:sz w:val="44"/>
          <w:szCs w:val="44"/>
        </w:rPr>
      </w:pPr>
    </w:p>
    <w:p>
      <w:pPr>
        <w:spacing w:line="700" w:lineRule="exact"/>
        <w:jc w:val="center"/>
        <w:rPr>
          <w:rFonts w:hint="eastAsia" w:ascii="华文行楷" w:eastAsia="华文行楷"/>
          <w:sz w:val="48"/>
          <w:szCs w:val="48"/>
        </w:rPr>
      </w:pPr>
      <w:r>
        <w:rPr>
          <w:rFonts w:hint="eastAsia" w:ascii="华文行楷" w:eastAsia="华文行楷"/>
          <w:sz w:val="48"/>
          <w:szCs w:val="48"/>
        </w:rPr>
        <w:t>实 验 教 案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427"/>
        <w:gridCol w:w="1428"/>
        <w:gridCol w:w="1428"/>
        <w:gridCol w:w="1428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实验名称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二、三极管的判别与测试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实验性质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认识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实验方式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操作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实验时数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每批组数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每组人数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实验班级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第三批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第四批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ind w:firstLine="270" w:firstLine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9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 ～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实验目标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及要求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知识目标：熟悉数字电路实验台的使用方法；</w:t>
            </w:r>
          </w:p>
          <w:p>
            <w:pPr>
              <w:ind w:firstLine="1200" w:firstLineChars="500"/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掌握二、三极管的判别方法。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能力目标：能用三八译码器构成组合逻辑电路并连接正确。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素质目标：能够把理论知识与实际应用有机结合起来</w:t>
            </w:r>
          </w:p>
          <w:p>
            <w:pPr>
              <w:ind w:firstLine="1200" w:firstLineChars="500"/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解读《大国工匠》精神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实验重点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二、三极管的判别方法，示波器的使用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实验器材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实验台一台、信号发生器一台、示波器一台、二极管、三极管、导线若干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知识讲解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及注意事项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4"/>
                <w:szCs w:val="21"/>
              </w:rPr>
            </w:pP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实验室的安全及注意事项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模电综合实验台的介绍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示波器的功能介绍及其使用说明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实验演示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</w:p>
        </w:tc>
      </w:tr>
    </w:tbl>
    <w:p>
      <w: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7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4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操作步骤</w:t>
            </w:r>
          </w:p>
        </w:tc>
        <w:tc>
          <w:tcPr>
            <w:tcW w:w="7504" w:type="dxa"/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1、介绍实验台面板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2、介绍稳压电源的使用方法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3、介绍信号发生器的使用方法并进行演示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4、介绍示波器的功能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5、介绍示波器的使用方法并进行演示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6、介绍怎样用示波器读出信号的幅度和周期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7、怎样判别示波器的好坏</w:t>
            </w:r>
          </w:p>
          <w:p>
            <w:pPr>
              <w:ind w:right="452"/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8、判别二、三极管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</w:p>
          <w:p>
            <w:pPr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解读《大国工匠》精神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案例：“蛟龙号”上的“两丝”钳工顾秋亮</w:t>
            </w: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</w:p>
          <w:p>
            <w:pPr>
              <w:rPr>
                <w:rFonts w:hint="eastAsia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学生反馈的疑难问题</w:t>
            </w:r>
          </w:p>
        </w:tc>
        <w:tc>
          <w:tcPr>
            <w:tcW w:w="7504" w:type="dxa"/>
            <w:shd w:val="clear" w:color="auto" w:fill="auto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教师指导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及解决问题情况</w:t>
            </w:r>
          </w:p>
        </w:tc>
        <w:tc>
          <w:tcPr>
            <w:tcW w:w="7504" w:type="dxa"/>
            <w:shd w:val="clear" w:color="auto" w:fill="auto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exact"/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实验小结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及体会</w:t>
            </w:r>
          </w:p>
        </w:tc>
        <w:tc>
          <w:tcPr>
            <w:tcW w:w="7504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</w:tbl>
    <w:p>
      <w:pPr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7.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放大电路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的基本知识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K1: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掌握基本放大电路的组成； 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K2:掌握静态工作点的概念和计算；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ind w:firstLine="18" w:firstLineChars="9"/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K3:理解电压放大倍数的概念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numPr>
                <w:ilvl w:val="0"/>
                <w:numId w:val="3"/>
              </w:numPr>
              <w:tabs>
                <w:tab w:val="left" w:pos="0"/>
                <w:tab w:val="clear" w:pos="785"/>
              </w:tabs>
              <w:ind w:left="-1" w:leftChars="-6" w:hanging="16" w:hangingChars="8"/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掌握基本放大电路的组成</w:t>
            </w:r>
          </w:p>
          <w:p>
            <w:pPr>
              <w:numPr>
                <w:ilvl w:val="0"/>
                <w:numId w:val="3"/>
              </w:numPr>
              <w:tabs>
                <w:tab w:val="left" w:pos="0"/>
                <w:tab w:val="clear" w:pos="785"/>
              </w:tabs>
              <w:ind w:left="-1" w:leftChars="-6" w:hanging="16" w:hangingChars="8"/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掌握静态工作点的概念和计算</w:t>
            </w:r>
          </w:p>
          <w:p>
            <w:pPr>
              <w:tabs>
                <w:tab w:val="left" w:pos="0"/>
              </w:tabs>
              <w:ind w:leftChars="-6" w:hanging="16" w:hangingChars="8"/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理解电压放大倍数的概念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理解电压放大倍数的概念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放大电路分析基础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K2</w:t>
            </w:r>
          </w:p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7.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放大电路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的三种基本组态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K1: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掌握共发射极放大电路的基本组成及工作原理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； 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K2:掌握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共集电极放大电路的基本组成及工作原理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ind w:firstLine="18" w:firstLineChars="9"/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K3:掌握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共基极放大电路的基本组成及工作原理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01</w:t>
            </w:r>
            <w:r>
              <w:rPr>
                <w:rFonts w:ascii="宋体" w:hAnsi="宋体"/>
                <w:sz w:val="18"/>
              </w:rPr>
              <w:t>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numPr>
                <w:ilvl w:val="0"/>
                <w:numId w:val="4"/>
              </w:numPr>
              <w:tabs>
                <w:tab w:val="left" w:pos="0"/>
                <w:tab w:val="clear" w:pos="312"/>
              </w:tabs>
              <w:ind w:leftChars="-6" w:hanging="16" w:hangingChars="8"/>
              <w:jc w:val="left"/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直流通路和交流通路的画法</w:t>
            </w:r>
          </w:p>
          <w:p>
            <w:pPr>
              <w:numPr>
                <w:ilvl w:val="0"/>
                <w:numId w:val="4"/>
              </w:numPr>
              <w:tabs>
                <w:tab w:val="left" w:pos="0"/>
                <w:tab w:val="clear" w:pos="312"/>
              </w:tabs>
              <w:ind w:leftChars="-6" w:hanging="16" w:hangingChars="8"/>
              <w:jc w:val="left"/>
              <w:rPr>
                <w:rFonts w:hint="default" w:asciiTheme="minorEastAsia" w:hAnsiTheme="min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微变等效电路的画法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微变等效电路的画法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  <w:r>
        <w:rPr>
          <w:rFonts w:ascii="黑体" w:hAnsi="黑体" w:eastAsia="黑体"/>
          <w:b/>
        </w:rPr>
        <w:br w:type="page"/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基础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10.1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逻辑代数基础知识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K1: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理解逻辑代数基本运算法则；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K2: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了解编码和译码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ind w:firstLine="18" w:firstLineChars="9"/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K3: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理解数制及计算意义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理解逻辑代数基本运算法则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理解逻辑代数基本运算法则</w:t>
            </w:r>
          </w:p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概述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数制与码制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二进制数的算术运算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rPr>
                <w:rFonts w:hint="default" w:asciiTheme="minorEastAsia" w:hAnsiTheme="minorEastAsia"/>
                <w:bCs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2基本逻辑门电路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K1: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理解基本门电路的逻辑功能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K2:理解门电路的基本运算法则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ind w:firstLine="18" w:firstLineChars="9"/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K3: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理解基本门电路工作原理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0101</w:t>
            </w:r>
            <w:r>
              <w:rPr>
                <w:rFonts w:hint="eastAsia" w:ascii="宋体" w:hAnsi="宋体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2C1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理解基本门电路的逻辑功能</w:t>
            </w:r>
          </w:p>
          <w:p>
            <w:pPr>
              <w:tabs>
                <w:tab w:val="left" w:pos="0"/>
              </w:tabs>
              <w:ind w:leftChars="-6" w:hanging="16" w:hangingChars="8"/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理解门电路的基本运算法则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理解基本门电路的逻辑功能</w:t>
            </w:r>
          </w:p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理解门电路的基本运算法则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教学方法：讲授法、讲练结合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教学手段：PPT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1.习题库；2.《电工电子</w:t>
            </w: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》教科书</w:t>
            </w:r>
            <w:bookmarkStart w:id="0" w:name="_GoBack"/>
            <w:bookmarkEnd w:id="0"/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通过在线课程布置学生预习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学生通过在线资源进行预习，完成课前作业。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</w:t>
            </w:r>
            <w:r>
              <w:rPr>
                <w:rFonts w:asciiTheme="minorEastAsia" w:hAnsiTheme="minorEastAsia"/>
                <w:sz w:val="21"/>
                <w:szCs w:val="21"/>
              </w:rPr>
              <w:t>提问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基本逻辑门电路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教师讲解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</w:t>
            </w: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K2</w:t>
            </w:r>
          </w:p>
          <w:p>
            <w:pPr>
              <w:jc w:val="center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hint="eastAsia" w:asciiTheme="minorEastAsia" w:hAnsiTheme="minorEastAsia"/>
          <w:bCs/>
          <w:color w:val="FF0000"/>
          <w:sz w:val="21"/>
          <w:szCs w:val="21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教案</w:t>
      </w:r>
    </w:p>
    <w:tbl>
      <w:tblPr>
        <w:tblStyle w:val="8"/>
        <w:tblpPr w:leftFromText="180" w:rightFromText="180" w:vertAnchor="page" w:horzAnchor="margin" w:tblpXSpec="center" w:tblpY="270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685"/>
        <w:gridCol w:w="193"/>
        <w:gridCol w:w="796"/>
        <w:gridCol w:w="594"/>
        <w:gridCol w:w="2410"/>
        <w:gridCol w:w="1276"/>
        <w:gridCol w:w="567"/>
        <w:gridCol w:w="425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8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电工电子</w:t>
            </w:r>
            <w:r>
              <w:rPr>
                <w:rFonts w:asciiTheme="minorEastAsia" w:hAnsiTheme="minorEastAsia"/>
                <w:sz w:val="24"/>
                <w:szCs w:val="24"/>
              </w:rPr>
              <w:t>技术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任课</w:t>
            </w:r>
            <w:r>
              <w:rPr>
                <w:rFonts w:ascii="黑体" w:hAnsi="黑体" w:eastAsia="黑体"/>
                <w:sz w:val="21"/>
                <w:szCs w:val="21"/>
              </w:rPr>
              <w:t>教师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类型</w:t>
            </w:r>
          </w:p>
        </w:tc>
        <w:tc>
          <w:tcPr>
            <w:tcW w:w="3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Segoe UI Symbol" w:hAnsi="Segoe UI Symbol" w:cs="Segoe UI Symbol"/>
                <w:sz w:val="21"/>
                <w:szCs w:val="21"/>
              </w:rPr>
              <w:t>☑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A理论 □B理</w:t>
            </w:r>
            <w:r>
              <w:rPr>
                <w:rFonts w:asciiTheme="minorEastAsia" w:hAnsiTheme="minorEastAsia"/>
                <w:sz w:val="21"/>
                <w:szCs w:val="21"/>
              </w:rPr>
              <w:t>实一体化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□C实</w:t>
            </w:r>
            <w:r>
              <w:rPr>
                <w:rFonts w:asciiTheme="minorEastAsia" w:hAnsiTheme="minorEastAsia"/>
                <w:sz w:val="21"/>
                <w:szCs w:val="21"/>
              </w:rPr>
              <w:t>践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sz w:val="21"/>
                <w:szCs w:val="21"/>
              </w:rPr>
              <w:t>专业</w:t>
            </w:r>
          </w:p>
        </w:tc>
        <w:tc>
          <w:tcPr>
            <w:tcW w:w="224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63" w:hRule="atLeast"/>
        </w:trPr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本次课标题</w:t>
            </w:r>
          </w:p>
        </w:tc>
        <w:tc>
          <w:tcPr>
            <w:tcW w:w="3800" w:type="dxa"/>
            <w:gridSpan w:val="3"/>
            <w:vAlign w:val="center"/>
          </w:tcPr>
          <w:p>
            <w:pP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期末考试</w:t>
            </w:r>
            <w: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授课</w:t>
            </w:r>
            <w:r>
              <w:rPr>
                <w:rFonts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22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授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级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上课时间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上课地点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周 周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-   </w:t>
            </w:r>
            <w:r>
              <w:rPr>
                <w:rFonts w:hint="eastAsia" w:ascii="宋体" w:hAnsi="宋体"/>
                <w:sz w:val="21"/>
                <w:szCs w:val="21"/>
              </w:rPr>
              <w:t>节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06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本</w:t>
            </w:r>
            <w:r>
              <w:rPr>
                <w:rFonts w:ascii="黑体" w:hAnsi="黑体" w:eastAsia="黑体"/>
                <w:sz w:val="21"/>
                <w:szCs w:val="21"/>
              </w:rPr>
              <w:t>次课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</w:t>
            </w:r>
            <w:r>
              <w:rPr>
                <w:rFonts w:ascii="黑体" w:hAnsi="黑体" w:eastAsia="黑体"/>
                <w:sz w:val="21"/>
                <w:szCs w:val="21"/>
              </w:rPr>
              <w:t>教学目标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</w:t>
            </w:r>
            <w:r>
              <w:rPr>
                <w:rFonts w:ascii="黑体" w:hAnsi="黑体" w:eastAsia="黑体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tabs>
                <w:tab w:val="left" w:pos="360"/>
              </w:tabs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ind w:firstLine="18" w:firstLineChars="9"/>
              <w:rPr>
                <w:rFonts w:hint="eastAsia"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06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重点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abs>
                <w:tab w:val="left" w:pos="0"/>
              </w:tabs>
              <w:ind w:leftChars="-6" w:hanging="16" w:hangingChars="8"/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难点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方法手段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sz w:val="21"/>
                <w:szCs w:val="21"/>
              </w:rPr>
              <w:t>资源</w:t>
            </w:r>
          </w:p>
        </w:tc>
        <w:tc>
          <w:tcPr>
            <w:tcW w:w="7518" w:type="dxa"/>
            <w:gridSpan w:val="8"/>
            <w:vAlign w:val="center"/>
          </w:tcPr>
          <w:p>
            <w:pPr>
              <w:snapToGrid w:val="0"/>
              <w:spacing w:before="156" w:beforeLines="50" w:after="156" w:afterLines="50" w:line="320" w:lineRule="exact"/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</w:t>
      </w:r>
      <w:r>
        <w:rPr>
          <w:rFonts w:ascii="黑体" w:hAnsi="黑体" w:eastAsia="黑体"/>
          <w:b/>
        </w:rPr>
        <w:t>、教学基本情况</w:t>
      </w:r>
    </w:p>
    <w:p>
      <w:pPr>
        <w:widowControl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br w:type="page"/>
      </w:r>
      <w:r>
        <w:rPr>
          <w:rFonts w:hint="eastAsia" w:ascii="黑体" w:hAnsi="黑体" w:eastAsia="黑体"/>
          <w:b/>
        </w:rPr>
        <w:t>二</w:t>
      </w:r>
      <w:r>
        <w:rPr>
          <w:rFonts w:ascii="黑体" w:hAnsi="黑体" w:eastAsia="黑体"/>
          <w:b/>
        </w:rPr>
        <w:t>、教学实施过程</w:t>
      </w:r>
    </w:p>
    <w:tbl>
      <w:tblPr>
        <w:tblStyle w:val="8"/>
        <w:tblpPr w:leftFromText="180" w:rightFromText="180" w:vertAnchor="text" w:horzAnchor="margin" w:tblpXSpec="center" w:tblpY="143"/>
        <w:tblW w:w="88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7"/>
        <w:gridCol w:w="1791"/>
        <w:gridCol w:w="2295"/>
        <w:gridCol w:w="2295"/>
        <w:gridCol w:w="7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环节</w:t>
            </w:r>
          </w:p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（时长）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教学内容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教师活动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学生活动</w:t>
            </w:r>
          </w:p>
        </w:tc>
        <w:tc>
          <w:tcPr>
            <w:tcW w:w="714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对应教学目标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课前</w:t>
            </w:r>
          </w:p>
        </w:tc>
        <w:tc>
          <w:tcPr>
            <w:tcW w:w="179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49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</w:t>
            </w:r>
            <w:r>
              <w:rPr>
                <w:rFonts w:ascii="黑体" w:hAnsi="黑体" w:eastAsia="黑体"/>
                <w:b/>
                <w:sz w:val="21"/>
                <w:szCs w:val="21"/>
              </w:rPr>
              <w:t>中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120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分钟</w:t>
            </w:r>
          </w:p>
        </w:tc>
        <w:tc>
          <w:tcPr>
            <w:tcW w:w="1791" w:type="dxa"/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学生参与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atLeas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9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sz w:val="21"/>
                <w:szCs w:val="21"/>
              </w:rPr>
              <w:t>课后</w:t>
            </w:r>
          </w:p>
        </w:tc>
        <w:tc>
          <w:tcPr>
            <w:tcW w:w="1791" w:type="dxa"/>
            <w:vAlign w:val="center"/>
          </w:tcPr>
          <w:p>
            <w:pPr>
              <w:spacing w:before="156" w:beforeLines="50" w:after="156" w:afterLines="50" w:line="32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复习巩固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老师答疑</w:t>
            </w:r>
          </w:p>
        </w:tc>
        <w:tc>
          <w:tcPr>
            <w:tcW w:w="2295" w:type="dxa"/>
            <w:vAlign w:val="center"/>
          </w:tcPr>
          <w:p>
            <w:pPr>
              <w:spacing w:before="156" w:beforeLines="50" w:after="156" w:afterLines="50"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完成课后作业</w:t>
            </w:r>
          </w:p>
        </w:tc>
        <w:tc>
          <w:tcPr>
            <w:tcW w:w="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K1</w:t>
            </w:r>
          </w:p>
        </w:tc>
      </w:tr>
    </w:tbl>
    <w:p>
      <w:pPr>
        <w:jc w:val="left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</w:t>
      </w:r>
      <w:r>
        <w:rPr>
          <w:rFonts w:ascii="黑体" w:hAnsi="黑体" w:eastAsia="黑体"/>
          <w:b/>
        </w:rPr>
        <w:t>、教学</w:t>
      </w:r>
      <w:r>
        <w:rPr>
          <w:rFonts w:hint="eastAsia" w:ascii="黑体" w:hAnsi="黑体" w:eastAsia="黑体"/>
          <w:b/>
        </w:rPr>
        <w:t>反思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897" w:type="dxa"/>
          </w:tcPr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1.本次课教学目标达成度： 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2.学生课堂学习表现情况：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3.教学内容评价：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4.教学方法和学习方法评价：</w:t>
            </w:r>
          </w:p>
          <w:p>
            <w:pPr>
              <w:snapToGrid w:val="0"/>
              <w:spacing w:after="156" w:afterLines="50" w:line="32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5.教学资源使用情况：</w:t>
            </w:r>
          </w:p>
          <w:p>
            <w:pPr>
              <w:snapToGrid w:val="0"/>
              <w:spacing w:after="156" w:afterLines="50" w:line="320" w:lineRule="exact"/>
              <w:rPr>
                <w:rFonts w:ascii="黑体" w:hAnsi="黑体" w:eastAsia="黑体"/>
                <w:b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 xml:space="preserve">6.其他： </w:t>
            </w:r>
          </w:p>
        </w:tc>
      </w:tr>
    </w:tbl>
    <w:p>
      <w:pPr>
        <w:rPr>
          <w:rFonts w:asciiTheme="minorEastAsia" w:hAnsiTheme="minorEastAsia"/>
          <w:bCs/>
          <w:color w:val="FF0000"/>
          <w:sz w:val="21"/>
          <w:szCs w:val="21"/>
        </w:rPr>
      </w:pPr>
    </w:p>
    <w:p>
      <w:pPr>
        <w:rPr>
          <w:rFonts w:hint="eastAsia" w:asciiTheme="minorEastAsia" w:hAnsiTheme="minorEastAsia"/>
          <w:bCs/>
          <w:color w:val="FF0000"/>
          <w:sz w:val="21"/>
          <w:szCs w:val="21"/>
        </w:rPr>
      </w:pPr>
    </w:p>
    <w:sectPr>
      <w:headerReference r:id="rId3" w:type="default"/>
      <w:headerReference r:id="rId4" w:type="even"/>
      <w:pgSz w:w="11906" w:h="16838"/>
      <w:pgMar w:top="1276" w:right="1800" w:bottom="1135" w:left="1800" w:header="851" w:footer="56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6B1D15"/>
    <w:multiLevelType w:val="multilevel"/>
    <w:tmpl w:val="136B1D15"/>
    <w:lvl w:ilvl="0" w:tentative="0">
      <w:start w:val="1"/>
      <w:numFmt w:val="decimal"/>
      <w:lvlText w:val="%1."/>
      <w:lvlJc w:val="left"/>
      <w:pPr>
        <w:tabs>
          <w:tab w:val="left" w:pos="785"/>
        </w:tabs>
        <w:ind w:left="785" w:hanging="36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1205"/>
        </w:tabs>
        <w:ind w:left="1205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685"/>
        </w:tabs>
        <w:ind w:left="1685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5"/>
        </w:tabs>
        <w:ind w:left="210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5"/>
        </w:tabs>
        <w:ind w:left="252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5"/>
        </w:tabs>
        <w:ind w:left="2945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5"/>
        </w:tabs>
        <w:ind w:left="336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5"/>
        </w:tabs>
        <w:ind w:left="378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5"/>
        </w:tabs>
        <w:ind w:left="4205" w:hanging="420"/>
      </w:pPr>
    </w:lvl>
  </w:abstractNum>
  <w:abstractNum w:abstractNumId="1">
    <w:nsid w:val="1D1448FD"/>
    <w:multiLevelType w:val="multilevel"/>
    <w:tmpl w:val="1D1448F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6F56E97"/>
    <w:multiLevelType w:val="singleLevel"/>
    <w:tmpl w:val="66F56E9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E435419"/>
    <w:multiLevelType w:val="multilevel"/>
    <w:tmpl w:val="6E4354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zM2RmZDc0MTQxMDliM2JiMjlkMmY0ZDM2N2ZjYTgifQ=="/>
  </w:docVars>
  <w:rsids>
    <w:rsidRoot w:val="00D25E81"/>
    <w:rsid w:val="00003645"/>
    <w:rsid w:val="000039D9"/>
    <w:rsid w:val="00004BAE"/>
    <w:rsid w:val="0000590F"/>
    <w:rsid w:val="000160FE"/>
    <w:rsid w:val="00017590"/>
    <w:rsid w:val="000248BE"/>
    <w:rsid w:val="000254A7"/>
    <w:rsid w:val="00032BD5"/>
    <w:rsid w:val="00036CC8"/>
    <w:rsid w:val="00037EA0"/>
    <w:rsid w:val="00047832"/>
    <w:rsid w:val="00052704"/>
    <w:rsid w:val="00060BA4"/>
    <w:rsid w:val="00064B8F"/>
    <w:rsid w:val="0006566B"/>
    <w:rsid w:val="000659B2"/>
    <w:rsid w:val="00067441"/>
    <w:rsid w:val="00070CB8"/>
    <w:rsid w:val="0007495C"/>
    <w:rsid w:val="00074DB6"/>
    <w:rsid w:val="000839BE"/>
    <w:rsid w:val="00086362"/>
    <w:rsid w:val="00087287"/>
    <w:rsid w:val="00090A44"/>
    <w:rsid w:val="00093C66"/>
    <w:rsid w:val="00097A71"/>
    <w:rsid w:val="000A0D15"/>
    <w:rsid w:val="000A3533"/>
    <w:rsid w:val="000A5B7C"/>
    <w:rsid w:val="000B1568"/>
    <w:rsid w:val="000B33E4"/>
    <w:rsid w:val="000B4DCF"/>
    <w:rsid w:val="000C2039"/>
    <w:rsid w:val="000C2B68"/>
    <w:rsid w:val="000C346C"/>
    <w:rsid w:val="000C72E2"/>
    <w:rsid w:val="000D3275"/>
    <w:rsid w:val="000E4F9E"/>
    <w:rsid w:val="000E67F4"/>
    <w:rsid w:val="000E7AA9"/>
    <w:rsid w:val="000F062D"/>
    <w:rsid w:val="000F0945"/>
    <w:rsid w:val="000F17F2"/>
    <w:rsid w:val="000F1D65"/>
    <w:rsid w:val="000F42B8"/>
    <w:rsid w:val="000F5F6D"/>
    <w:rsid w:val="000F7023"/>
    <w:rsid w:val="001016BC"/>
    <w:rsid w:val="00104399"/>
    <w:rsid w:val="00110423"/>
    <w:rsid w:val="00113CEF"/>
    <w:rsid w:val="001164F4"/>
    <w:rsid w:val="00126860"/>
    <w:rsid w:val="00133FA1"/>
    <w:rsid w:val="00140ECA"/>
    <w:rsid w:val="001410D6"/>
    <w:rsid w:val="001527B6"/>
    <w:rsid w:val="001531CA"/>
    <w:rsid w:val="001547B4"/>
    <w:rsid w:val="00155AD9"/>
    <w:rsid w:val="00161104"/>
    <w:rsid w:val="00163840"/>
    <w:rsid w:val="00170804"/>
    <w:rsid w:val="00171C40"/>
    <w:rsid w:val="00176DF5"/>
    <w:rsid w:val="00182E7C"/>
    <w:rsid w:val="00191107"/>
    <w:rsid w:val="00191162"/>
    <w:rsid w:val="00191AFA"/>
    <w:rsid w:val="0019665F"/>
    <w:rsid w:val="00196E2A"/>
    <w:rsid w:val="00197F27"/>
    <w:rsid w:val="001A48FA"/>
    <w:rsid w:val="001A4B51"/>
    <w:rsid w:val="001A7485"/>
    <w:rsid w:val="001A7CE2"/>
    <w:rsid w:val="001B0A2A"/>
    <w:rsid w:val="001B2092"/>
    <w:rsid w:val="001B4DB1"/>
    <w:rsid w:val="001C048E"/>
    <w:rsid w:val="001C0856"/>
    <w:rsid w:val="001C32C1"/>
    <w:rsid w:val="001C3929"/>
    <w:rsid w:val="001D0725"/>
    <w:rsid w:val="001D1AE5"/>
    <w:rsid w:val="001D238C"/>
    <w:rsid w:val="001D286E"/>
    <w:rsid w:val="001D484D"/>
    <w:rsid w:val="001E0317"/>
    <w:rsid w:val="001E0E06"/>
    <w:rsid w:val="001E11C1"/>
    <w:rsid w:val="001E6A15"/>
    <w:rsid w:val="001F1623"/>
    <w:rsid w:val="001F7D72"/>
    <w:rsid w:val="002026BA"/>
    <w:rsid w:val="00207B18"/>
    <w:rsid w:val="00210CBF"/>
    <w:rsid w:val="00211A26"/>
    <w:rsid w:val="00212F4B"/>
    <w:rsid w:val="00213D24"/>
    <w:rsid w:val="00221B7E"/>
    <w:rsid w:val="00222689"/>
    <w:rsid w:val="002259A3"/>
    <w:rsid w:val="00227243"/>
    <w:rsid w:val="002315C5"/>
    <w:rsid w:val="002324F3"/>
    <w:rsid w:val="002327CE"/>
    <w:rsid w:val="002362B0"/>
    <w:rsid w:val="00236543"/>
    <w:rsid w:val="0023682B"/>
    <w:rsid w:val="0024354C"/>
    <w:rsid w:val="00243DF3"/>
    <w:rsid w:val="00246BF9"/>
    <w:rsid w:val="00246DE5"/>
    <w:rsid w:val="0025003B"/>
    <w:rsid w:val="00252E54"/>
    <w:rsid w:val="00262040"/>
    <w:rsid w:val="00262F5F"/>
    <w:rsid w:val="00264E25"/>
    <w:rsid w:val="00267339"/>
    <w:rsid w:val="00270C28"/>
    <w:rsid w:val="002741C3"/>
    <w:rsid w:val="00282A76"/>
    <w:rsid w:val="00283D9D"/>
    <w:rsid w:val="00285755"/>
    <w:rsid w:val="002862F6"/>
    <w:rsid w:val="00291D06"/>
    <w:rsid w:val="002A1228"/>
    <w:rsid w:val="002A14B0"/>
    <w:rsid w:val="002A1D55"/>
    <w:rsid w:val="002A1EAE"/>
    <w:rsid w:val="002B6AB8"/>
    <w:rsid w:val="002B7989"/>
    <w:rsid w:val="002C770D"/>
    <w:rsid w:val="002D0875"/>
    <w:rsid w:val="002D11F1"/>
    <w:rsid w:val="002D5305"/>
    <w:rsid w:val="002D5327"/>
    <w:rsid w:val="002D5D11"/>
    <w:rsid w:val="002D6475"/>
    <w:rsid w:val="002D6611"/>
    <w:rsid w:val="002E0C95"/>
    <w:rsid w:val="002E122D"/>
    <w:rsid w:val="002E1385"/>
    <w:rsid w:val="002E1A3C"/>
    <w:rsid w:val="002E2DF3"/>
    <w:rsid w:val="002E5609"/>
    <w:rsid w:val="002E5ECF"/>
    <w:rsid w:val="002E7F4A"/>
    <w:rsid w:val="002F45C9"/>
    <w:rsid w:val="002F54E3"/>
    <w:rsid w:val="002F5A9F"/>
    <w:rsid w:val="003002C5"/>
    <w:rsid w:val="00300521"/>
    <w:rsid w:val="00301525"/>
    <w:rsid w:val="00301D9F"/>
    <w:rsid w:val="00305201"/>
    <w:rsid w:val="00305D19"/>
    <w:rsid w:val="00314461"/>
    <w:rsid w:val="00322D1D"/>
    <w:rsid w:val="00325ACE"/>
    <w:rsid w:val="003272A6"/>
    <w:rsid w:val="00327F91"/>
    <w:rsid w:val="003302C6"/>
    <w:rsid w:val="0033053A"/>
    <w:rsid w:val="0033100C"/>
    <w:rsid w:val="00332FD4"/>
    <w:rsid w:val="0033667A"/>
    <w:rsid w:val="00342E8F"/>
    <w:rsid w:val="00351194"/>
    <w:rsid w:val="0035124C"/>
    <w:rsid w:val="00351384"/>
    <w:rsid w:val="00353396"/>
    <w:rsid w:val="0035406C"/>
    <w:rsid w:val="003568F3"/>
    <w:rsid w:val="00360BE7"/>
    <w:rsid w:val="00361FC6"/>
    <w:rsid w:val="003632DF"/>
    <w:rsid w:val="00364C0E"/>
    <w:rsid w:val="0036522D"/>
    <w:rsid w:val="00366743"/>
    <w:rsid w:val="00366A0D"/>
    <w:rsid w:val="00373231"/>
    <w:rsid w:val="0037398D"/>
    <w:rsid w:val="00376189"/>
    <w:rsid w:val="00383162"/>
    <w:rsid w:val="003864F5"/>
    <w:rsid w:val="00387B63"/>
    <w:rsid w:val="00393112"/>
    <w:rsid w:val="003941DE"/>
    <w:rsid w:val="003954F6"/>
    <w:rsid w:val="0039650B"/>
    <w:rsid w:val="0039714B"/>
    <w:rsid w:val="003A3B1C"/>
    <w:rsid w:val="003A4957"/>
    <w:rsid w:val="003A6640"/>
    <w:rsid w:val="003B0A37"/>
    <w:rsid w:val="003B17AE"/>
    <w:rsid w:val="003B416E"/>
    <w:rsid w:val="003C1CA7"/>
    <w:rsid w:val="003C7C2A"/>
    <w:rsid w:val="003D059F"/>
    <w:rsid w:val="003D33CA"/>
    <w:rsid w:val="003E0847"/>
    <w:rsid w:val="003E15DA"/>
    <w:rsid w:val="003E351E"/>
    <w:rsid w:val="003F3617"/>
    <w:rsid w:val="003F36E1"/>
    <w:rsid w:val="00400A9B"/>
    <w:rsid w:val="00400B11"/>
    <w:rsid w:val="00402030"/>
    <w:rsid w:val="00402DAD"/>
    <w:rsid w:val="00407DBC"/>
    <w:rsid w:val="00410F39"/>
    <w:rsid w:val="00414D3A"/>
    <w:rsid w:val="00415B02"/>
    <w:rsid w:val="0042382D"/>
    <w:rsid w:val="00427A5F"/>
    <w:rsid w:val="00427C59"/>
    <w:rsid w:val="00430095"/>
    <w:rsid w:val="004303DF"/>
    <w:rsid w:val="0043200A"/>
    <w:rsid w:val="00436C43"/>
    <w:rsid w:val="00440138"/>
    <w:rsid w:val="004511A5"/>
    <w:rsid w:val="00451E0B"/>
    <w:rsid w:val="004545D9"/>
    <w:rsid w:val="00455D6C"/>
    <w:rsid w:val="0046681D"/>
    <w:rsid w:val="00471257"/>
    <w:rsid w:val="00475C93"/>
    <w:rsid w:val="00477B04"/>
    <w:rsid w:val="00480837"/>
    <w:rsid w:val="00480A04"/>
    <w:rsid w:val="004810E4"/>
    <w:rsid w:val="004829D2"/>
    <w:rsid w:val="00486086"/>
    <w:rsid w:val="00490A42"/>
    <w:rsid w:val="00490BEB"/>
    <w:rsid w:val="004941FA"/>
    <w:rsid w:val="004A3327"/>
    <w:rsid w:val="004A37C4"/>
    <w:rsid w:val="004A3E33"/>
    <w:rsid w:val="004A6E5C"/>
    <w:rsid w:val="004B0507"/>
    <w:rsid w:val="004B17DC"/>
    <w:rsid w:val="004B3383"/>
    <w:rsid w:val="004C69AC"/>
    <w:rsid w:val="004C6B2B"/>
    <w:rsid w:val="004C6F5A"/>
    <w:rsid w:val="004D1FE6"/>
    <w:rsid w:val="004D273C"/>
    <w:rsid w:val="004D5800"/>
    <w:rsid w:val="004D77AF"/>
    <w:rsid w:val="004E22D8"/>
    <w:rsid w:val="004E6426"/>
    <w:rsid w:val="004E719C"/>
    <w:rsid w:val="004F1003"/>
    <w:rsid w:val="004F1DCE"/>
    <w:rsid w:val="004F2A79"/>
    <w:rsid w:val="004F3030"/>
    <w:rsid w:val="004F72AB"/>
    <w:rsid w:val="004F7B95"/>
    <w:rsid w:val="00500A6D"/>
    <w:rsid w:val="0050105C"/>
    <w:rsid w:val="00505F19"/>
    <w:rsid w:val="00521F22"/>
    <w:rsid w:val="00524033"/>
    <w:rsid w:val="005326B7"/>
    <w:rsid w:val="0053341B"/>
    <w:rsid w:val="00533B1C"/>
    <w:rsid w:val="00541EB1"/>
    <w:rsid w:val="00545390"/>
    <w:rsid w:val="00545AF6"/>
    <w:rsid w:val="00552B2C"/>
    <w:rsid w:val="00553684"/>
    <w:rsid w:val="0055719C"/>
    <w:rsid w:val="0056548B"/>
    <w:rsid w:val="005755D5"/>
    <w:rsid w:val="00576575"/>
    <w:rsid w:val="00576962"/>
    <w:rsid w:val="00577256"/>
    <w:rsid w:val="00592C1B"/>
    <w:rsid w:val="00596251"/>
    <w:rsid w:val="005A227E"/>
    <w:rsid w:val="005A3FF3"/>
    <w:rsid w:val="005A58B7"/>
    <w:rsid w:val="005A58C2"/>
    <w:rsid w:val="005B0054"/>
    <w:rsid w:val="005B10C6"/>
    <w:rsid w:val="005B1FC3"/>
    <w:rsid w:val="005B2DBC"/>
    <w:rsid w:val="005B3AAF"/>
    <w:rsid w:val="005B4941"/>
    <w:rsid w:val="005B5A16"/>
    <w:rsid w:val="005B5EA6"/>
    <w:rsid w:val="005B6416"/>
    <w:rsid w:val="005B658B"/>
    <w:rsid w:val="005B7A7A"/>
    <w:rsid w:val="005C4A08"/>
    <w:rsid w:val="005D5B01"/>
    <w:rsid w:val="005E15CE"/>
    <w:rsid w:val="005E186B"/>
    <w:rsid w:val="005E5EE8"/>
    <w:rsid w:val="005E795F"/>
    <w:rsid w:val="005F56A4"/>
    <w:rsid w:val="005F56D1"/>
    <w:rsid w:val="00601484"/>
    <w:rsid w:val="00601564"/>
    <w:rsid w:val="0060337B"/>
    <w:rsid w:val="00603713"/>
    <w:rsid w:val="00604E10"/>
    <w:rsid w:val="00605B9B"/>
    <w:rsid w:val="00612791"/>
    <w:rsid w:val="00612C6C"/>
    <w:rsid w:val="006152E8"/>
    <w:rsid w:val="006165E6"/>
    <w:rsid w:val="006235BE"/>
    <w:rsid w:val="00623D0C"/>
    <w:rsid w:val="006250CB"/>
    <w:rsid w:val="006345B2"/>
    <w:rsid w:val="00636821"/>
    <w:rsid w:val="00640260"/>
    <w:rsid w:val="0064026C"/>
    <w:rsid w:val="00642FC9"/>
    <w:rsid w:val="00643AC1"/>
    <w:rsid w:val="006527AC"/>
    <w:rsid w:val="00654D08"/>
    <w:rsid w:val="00662775"/>
    <w:rsid w:val="00664DD6"/>
    <w:rsid w:val="00665F1C"/>
    <w:rsid w:val="00670A28"/>
    <w:rsid w:val="00684276"/>
    <w:rsid w:val="006846F8"/>
    <w:rsid w:val="006871A5"/>
    <w:rsid w:val="00695FDB"/>
    <w:rsid w:val="006A35E6"/>
    <w:rsid w:val="006A5BFF"/>
    <w:rsid w:val="006A75D2"/>
    <w:rsid w:val="006B0449"/>
    <w:rsid w:val="006B19FC"/>
    <w:rsid w:val="006B472E"/>
    <w:rsid w:val="006B7251"/>
    <w:rsid w:val="006C0218"/>
    <w:rsid w:val="006C2A96"/>
    <w:rsid w:val="006C323A"/>
    <w:rsid w:val="006D3C42"/>
    <w:rsid w:val="006D5F69"/>
    <w:rsid w:val="006E11CF"/>
    <w:rsid w:val="006E2449"/>
    <w:rsid w:val="006E3BB1"/>
    <w:rsid w:val="006E61C7"/>
    <w:rsid w:val="006E6C3A"/>
    <w:rsid w:val="006F4D49"/>
    <w:rsid w:val="006F7276"/>
    <w:rsid w:val="00701528"/>
    <w:rsid w:val="00701799"/>
    <w:rsid w:val="00703CDD"/>
    <w:rsid w:val="00706017"/>
    <w:rsid w:val="007066D5"/>
    <w:rsid w:val="007129AF"/>
    <w:rsid w:val="007163E8"/>
    <w:rsid w:val="00721641"/>
    <w:rsid w:val="00722B0B"/>
    <w:rsid w:val="00725A8C"/>
    <w:rsid w:val="00726864"/>
    <w:rsid w:val="007330BB"/>
    <w:rsid w:val="007343FA"/>
    <w:rsid w:val="00736EDD"/>
    <w:rsid w:val="007445F9"/>
    <w:rsid w:val="0074484C"/>
    <w:rsid w:val="007541DC"/>
    <w:rsid w:val="00757F4F"/>
    <w:rsid w:val="00760963"/>
    <w:rsid w:val="00762414"/>
    <w:rsid w:val="0076763A"/>
    <w:rsid w:val="007751C3"/>
    <w:rsid w:val="00775341"/>
    <w:rsid w:val="0077773E"/>
    <w:rsid w:val="0077780B"/>
    <w:rsid w:val="0077785F"/>
    <w:rsid w:val="00783830"/>
    <w:rsid w:val="00785B1A"/>
    <w:rsid w:val="0079180E"/>
    <w:rsid w:val="00793279"/>
    <w:rsid w:val="00794612"/>
    <w:rsid w:val="0079477C"/>
    <w:rsid w:val="007A2BC2"/>
    <w:rsid w:val="007A4606"/>
    <w:rsid w:val="007A46E1"/>
    <w:rsid w:val="007A65DB"/>
    <w:rsid w:val="007A7D4D"/>
    <w:rsid w:val="007B6553"/>
    <w:rsid w:val="007C425A"/>
    <w:rsid w:val="007D07BC"/>
    <w:rsid w:val="007D48BD"/>
    <w:rsid w:val="007E4E77"/>
    <w:rsid w:val="007F1461"/>
    <w:rsid w:val="007F2A1C"/>
    <w:rsid w:val="007F53DA"/>
    <w:rsid w:val="00802153"/>
    <w:rsid w:val="00802A1C"/>
    <w:rsid w:val="008046E3"/>
    <w:rsid w:val="00804F36"/>
    <w:rsid w:val="00830DF6"/>
    <w:rsid w:val="008435DE"/>
    <w:rsid w:val="008437AB"/>
    <w:rsid w:val="0084474C"/>
    <w:rsid w:val="00845122"/>
    <w:rsid w:val="0084519B"/>
    <w:rsid w:val="00845288"/>
    <w:rsid w:val="008463E4"/>
    <w:rsid w:val="00846BC9"/>
    <w:rsid w:val="008477AE"/>
    <w:rsid w:val="00850E01"/>
    <w:rsid w:val="00852202"/>
    <w:rsid w:val="00860E0C"/>
    <w:rsid w:val="00862BC4"/>
    <w:rsid w:val="00866E37"/>
    <w:rsid w:val="00870361"/>
    <w:rsid w:val="00873860"/>
    <w:rsid w:val="00874722"/>
    <w:rsid w:val="00881335"/>
    <w:rsid w:val="008817A5"/>
    <w:rsid w:val="008823B4"/>
    <w:rsid w:val="008823CF"/>
    <w:rsid w:val="008830E4"/>
    <w:rsid w:val="00886998"/>
    <w:rsid w:val="008930CA"/>
    <w:rsid w:val="00893E0C"/>
    <w:rsid w:val="00897708"/>
    <w:rsid w:val="008A0D7C"/>
    <w:rsid w:val="008A2C04"/>
    <w:rsid w:val="008B3086"/>
    <w:rsid w:val="008C3F35"/>
    <w:rsid w:val="008C5E2D"/>
    <w:rsid w:val="008C76BD"/>
    <w:rsid w:val="008D0ECB"/>
    <w:rsid w:val="008D31B3"/>
    <w:rsid w:val="008D6614"/>
    <w:rsid w:val="008E004C"/>
    <w:rsid w:val="008E5557"/>
    <w:rsid w:val="008E6025"/>
    <w:rsid w:val="008E6073"/>
    <w:rsid w:val="008E68A9"/>
    <w:rsid w:val="008F048F"/>
    <w:rsid w:val="008F1A8E"/>
    <w:rsid w:val="008F3B3D"/>
    <w:rsid w:val="008F4EF7"/>
    <w:rsid w:val="008F62AB"/>
    <w:rsid w:val="00901997"/>
    <w:rsid w:val="009051AD"/>
    <w:rsid w:val="00905851"/>
    <w:rsid w:val="00906B09"/>
    <w:rsid w:val="0091076B"/>
    <w:rsid w:val="00927F58"/>
    <w:rsid w:val="009312A6"/>
    <w:rsid w:val="00932CF0"/>
    <w:rsid w:val="00934439"/>
    <w:rsid w:val="00942350"/>
    <w:rsid w:val="00944A9F"/>
    <w:rsid w:val="00946C30"/>
    <w:rsid w:val="009508B2"/>
    <w:rsid w:val="00957B11"/>
    <w:rsid w:val="00961F0D"/>
    <w:rsid w:val="00962318"/>
    <w:rsid w:val="00967E33"/>
    <w:rsid w:val="0097084C"/>
    <w:rsid w:val="00976198"/>
    <w:rsid w:val="00982097"/>
    <w:rsid w:val="00994924"/>
    <w:rsid w:val="00994B9D"/>
    <w:rsid w:val="009A5C1E"/>
    <w:rsid w:val="009A6C35"/>
    <w:rsid w:val="009A70E0"/>
    <w:rsid w:val="009A796C"/>
    <w:rsid w:val="009B414F"/>
    <w:rsid w:val="009B754C"/>
    <w:rsid w:val="009C4747"/>
    <w:rsid w:val="009C51B1"/>
    <w:rsid w:val="009C5A16"/>
    <w:rsid w:val="009D220E"/>
    <w:rsid w:val="009D3A7D"/>
    <w:rsid w:val="009D49A4"/>
    <w:rsid w:val="009D60E1"/>
    <w:rsid w:val="009E1AE8"/>
    <w:rsid w:val="009E3042"/>
    <w:rsid w:val="009E617F"/>
    <w:rsid w:val="009E7186"/>
    <w:rsid w:val="009F1AC7"/>
    <w:rsid w:val="009F61DE"/>
    <w:rsid w:val="009F682D"/>
    <w:rsid w:val="009F707D"/>
    <w:rsid w:val="00A00254"/>
    <w:rsid w:val="00A03CFE"/>
    <w:rsid w:val="00A05159"/>
    <w:rsid w:val="00A12219"/>
    <w:rsid w:val="00A2011C"/>
    <w:rsid w:val="00A2012F"/>
    <w:rsid w:val="00A2120B"/>
    <w:rsid w:val="00A21C1A"/>
    <w:rsid w:val="00A21E15"/>
    <w:rsid w:val="00A30CF5"/>
    <w:rsid w:val="00A4139F"/>
    <w:rsid w:val="00A42162"/>
    <w:rsid w:val="00A42FBB"/>
    <w:rsid w:val="00A45152"/>
    <w:rsid w:val="00A50F43"/>
    <w:rsid w:val="00A53937"/>
    <w:rsid w:val="00A62BEA"/>
    <w:rsid w:val="00A62E3A"/>
    <w:rsid w:val="00A63E0C"/>
    <w:rsid w:val="00A65A88"/>
    <w:rsid w:val="00A75D2B"/>
    <w:rsid w:val="00A766A1"/>
    <w:rsid w:val="00A76FC9"/>
    <w:rsid w:val="00A772EA"/>
    <w:rsid w:val="00A858CA"/>
    <w:rsid w:val="00A85DC2"/>
    <w:rsid w:val="00A86468"/>
    <w:rsid w:val="00A94F5E"/>
    <w:rsid w:val="00A9512B"/>
    <w:rsid w:val="00A96074"/>
    <w:rsid w:val="00AB1537"/>
    <w:rsid w:val="00AB25EF"/>
    <w:rsid w:val="00AB4A43"/>
    <w:rsid w:val="00AC1596"/>
    <w:rsid w:val="00AC210D"/>
    <w:rsid w:val="00AC3758"/>
    <w:rsid w:val="00AC5436"/>
    <w:rsid w:val="00AC5C5C"/>
    <w:rsid w:val="00AC7658"/>
    <w:rsid w:val="00AC7F61"/>
    <w:rsid w:val="00AD1295"/>
    <w:rsid w:val="00AD1304"/>
    <w:rsid w:val="00AD2CD1"/>
    <w:rsid w:val="00AD4E4D"/>
    <w:rsid w:val="00AD57CD"/>
    <w:rsid w:val="00AD79A3"/>
    <w:rsid w:val="00AE15EF"/>
    <w:rsid w:val="00AE2A8E"/>
    <w:rsid w:val="00AF24CC"/>
    <w:rsid w:val="00AF48A3"/>
    <w:rsid w:val="00AF4C1E"/>
    <w:rsid w:val="00B00CBB"/>
    <w:rsid w:val="00B04E45"/>
    <w:rsid w:val="00B064A2"/>
    <w:rsid w:val="00B06C1D"/>
    <w:rsid w:val="00B0752E"/>
    <w:rsid w:val="00B10BFC"/>
    <w:rsid w:val="00B137B7"/>
    <w:rsid w:val="00B21A6D"/>
    <w:rsid w:val="00B21C66"/>
    <w:rsid w:val="00B241FB"/>
    <w:rsid w:val="00B30EBC"/>
    <w:rsid w:val="00B31E54"/>
    <w:rsid w:val="00B3341C"/>
    <w:rsid w:val="00B349F3"/>
    <w:rsid w:val="00B34ACB"/>
    <w:rsid w:val="00B358FC"/>
    <w:rsid w:val="00B37216"/>
    <w:rsid w:val="00B40AF1"/>
    <w:rsid w:val="00B40FB2"/>
    <w:rsid w:val="00B459B6"/>
    <w:rsid w:val="00B461BF"/>
    <w:rsid w:val="00B46332"/>
    <w:rsid w:val="00B47803"/>
    <w:rsid w:val="00B51845"/>
    <w:rsid w:val="00B52B5C"/>
    <w:rsid w:val="00B53627"/>
    <w:rsid w:val="00B5549A"/>
    <w:rsid w:val="00B55545"/>
    <w:rsid w:val="00B66A22"/>
    <w:rsid w:val="00B74837"/>
    <w:rsid w:val="00B75D63"/>
    <w:rsid w:val="00B851A0"/>
    <w:rsid w:val="00B85579"/>
    <w:rsid w:val="00B86662"/>
    <w:rsid w:val="00B9372B"/>
    <w:rsid w:val="00B9621C"/>
    <w:rsid w:val="00B96C21"/>
    <w:rsid w:val="00B96DD5"/>
    <w:rsid w:val="00BA3BF7"/>
    <w:rsid w:val="00BA5230"/>
    <w:rsid w:val="00BA57FF"/>
    <w:rsid w:val="00BA7D31"/>
    <w:rsid w:val="00BB1B11"/>
    <w:rsid w:val="00BB6A0C"/>
    <w:rsid w:val="00BB6C8B"/>
    <w:rsid w:val="00BC011E"/>
    <w:rsid w:val="00BC77F1"/>
    <w:rsid w:val="00BD28CE"/>
    <w:rsid w:val="00BD454F"/>
    <w:rsid w:val="00BD54C3"/>
    <w:rsid w:val="00BD56B8"/>
    <w:rsid w:val="00BD5C62"/>
    <w:rsid w:val="00BE2D1B"/>
    <w:rsid w:val="00BE385B"/>
    <w:rsid w:val="00BE3CE0"/>
    <w:rsid w:val="00BE4384"/>
    <w:rsid w:val="00BE66CB"/>
    <w:rsid w:val="00BF085E"/>
    <w:rsid w:val="00BF26DC"/>
    <w:rsid w:val="00BF379D"/>
    <w:rsid w:val="00C00077"/>
    <w:rsid w:val="00C009E2"/>
    <w:rsid w:val="00C06829"/>
    <w:rsid w:val="00C07271"/>
    <w:rsid w:val="00C13DE2"/>
    <w:rsid w:val="00C16499"/>
    <w:rsid w:val="00C17C8F"/>
    <w:rsid w:val="00C21E10"/>
    <w:rsid w:val="00C21F0B"/>
    <w:rsid w:val="00C26257"/>
    <w:rsid w:val="00C30D78"/>
    <w:rsid w:val="00C31300"/>
    <w:rsid w:val="00C33C07"/>
    <w:rsid w:val="00C37949"/>
    <w:rsid w:val="00C41113"/>
    <w:rsid w:val="00C421F0"/>
    <w:rsid w:val="00C45868"/>
    <w:rsid w:val="00C46A75"/>
    <w:rsid w:val="00C53FB0"/>
    <w:rsid w:val="00C56C70"/>
    <w:rsid w:val="00C61AFC"/>
    <w:rsid w:val="00C63543"/>
    <w:rsid w:val="00C64D73"/>
    <w:rsid w:val="00C650AE"/>
    <w:rsid w:val="00C65C39"/>
    <w:rsid w:val="00C703D0"/>
    <w:rsid w:val="00C72816"/>
    <w:rsid w:val="00C751B7"/>
    <w:rsid w:val="00C80FEB"/>
    <w:rsid w:val="00C84E3F"/>
    <w:rsid w:val="00C95028"/>
    <w:rsid w:val="00CB0D7F"/>
    <w:rsid w:val="00CB2A9B"/>
    <w:rsid w:val="00CB34B2"/>
    <w:rsid w:val="00CB434E"/>
    <w:rsid w:val="00CB780C"/>
    <w:rsid w:val="00CC4409"/>
    <w:rsid w:val="00CC5593"/>
    <w:rsid w:val="00CD3B30"/>
    <w:rsid w:val="00CD3B6F"/>
    <w:rsid w:val="00CD475D"/>
    <w:rsid w:val="00CE28D8"/>
    <w:rsid w:val="00CF0711"/>
    <w:rsid w:val="00CF10E4"/>
    <w:rsid w:val="00D00E9B"/>
    <w:rsid w:val="00D03998"/>
    <w:rsid w:val="00D044CF"/>
    <w:rsid w:val="00D05F39"/>
    <w:rsid w:val="00D0607B"/>
    <w:rsid w:val="00D13D2D"/>
    <w:rsid w:val="00D13DEC"/>
    <w:rsid w:val="00D141D3"/>
    <w:rsid w:val="00D1786B"/>
    <w:rsid w:val="00D25E81"/>
    <w:rsid w:val="00D3422F"/>
    <w:rsid w:val="00D42784"/>
    <w:rsid w:val="00D45656"/>
    <w:rsid w:val="00D46AC0"/>
    <w:rsid w:val="00D47109"/>
    <w:rsid w:val="00D5105B"/>
    <w:rsid w:val="00D62FDD"/>
    <w:rsid w:val="00D64E80"/>
    <w:rsid w:val="00D650D0"/>
    <w:rsid w:val="00D743E7"/>
    <w:rsid w:val="00D83460"/>
    <w:rsid w:val="00D8678B"/>
    <w:rsid w:val="00D901B9"/>
    <w:rsid w:val="00D96A44"/>
    <w:rsid w:val="00DA5B69"/>
    <w:rsid w:val="00DA6295"/>
    <w:rsid w:val="00DA736D"/>
    <w:rsid w:val="00DB0DD1"/>
    <w:rsid w:val="00DB4AD4"/>
    <w:rsid w:val="00DB4EF7"/>
    <w:rsid w:val="00DB5845"/>
    <w:rsid w:val="00DC0A66"/>
    <w:rsid w:val="00DC4558"/>
    <w:rsid w:val="00DD1D6F"/>
    <w:rsid w:val="00DD3060"/>
    <w:rsid w:val="00DF4DAF"/>
    <w:rsid w:val="00DF6EE5"/>
    <w:rsid w:val="00E0004A"/>
    <w:rsid w:val="00E00DBC"/>
    <w:rsid w:val="00E02A30"/>
    <w:rsid w:val="00E11A91"/>
    <w:rsid w:val="00E14C14"/>
    <w:rsid w:val="00E15BC5"/>
    <w:rsid w:val="00E2078E"/>
    <w:rsid w:val="00E24405"/>
    <w:rsid w:val="00E25075"/>
    <w:rsid w:val="00E259B1"/>
    <w:rsid w:val="00E311BE"/>
    <w:rsid w:val="00E31821"/>
    <w:rsid w:val="00E32CF9"/>
    <w:rsid w:val="00E33C01"/>
    <w:rsid w:val="00E33C9F"/>
    <w:rsid w:val="00E347C9"/>
    <w:rsid w:val="00E35217"/>
    <w:rsid w:val="00E40E9B"/>
    <w:rsid w:val="00E47C71"/>
    <w:rsid w:val="00E55EE4"/>
    <w:rsid w:val="00E5670C"/>
    <w:rsid w:val="00E57D27"/>
    <w:rsid w:val="00E610AB"/>
    <w:rsid w:val="00E627D8"/>
    <w:rsid w:val="00E6551A"/>
    <w:rsid w:val="00E717CC"/>
    <w:rsid w:val="00E72DB2"/>
    <w:rsid w:val="00E76A61"/>
    <w:rsid w:val="00E80905"/>
    <w:rsid w:val="00E80CB5"/>
    <w:rsid w:val="00E82DB6"/>
    <w:rsid w:val="00E87989"/>
    <w:rsid w:val="00E90EFB"/>
    <w:rsid w:val="00E93D19"/>
    <w:rsid w:val="00E9657B"/>
    <w:rsid w:val="00E97216"/>
    <w:rsid w:val="00EA0581"/>
    <w:rsid w:val="00EA149F"/>
    <w:rsid w:val="00EA2041"/>
    <w:rsid w:val="00EA75C2"/>
    <w:rsid w:val="00EA76FA"/>
    <w:rsid w:val="00EB419C"/>
    <w:rsid w:val="00EB45C7"/>
    <w:rsid w:val="00EB63EE"/>
    <w:rsid w:val="00EB67CA"/>
    <w:rsid w:val="00EC0D2F"/>
    <w:rsid w:val="00EC3061"/>
    <w:rsid w:val="00EC3090"/>
    <w:rsid w:val="00EC5079"/>
    <w:rsid w:val="00EC7BDA"/>
    <w:rsid w:val="00ED0B91"/>
    <w:rsid w:val="00ED3622"/>
    <w:rsid w:val="00ED3F3B"/>
    <w:rsid w:val="00EE02CD"/>
    <w:rsid w:val="00EE0511"/>
    <w:rsid w:val="00EE28ED"/>
    <w:rsid w:val="00EE2A0F"/>
    <w:rsid w:val="00EF50C7"/>
    <w:rsid w:val="00F0152C"/>
    <w:rsid w:val="00F0181B"/>
    <w:rsid w:val="00F10207"/>
    <w:rsid w:val="00F112DF"/>
    <w:rsid w:val="00F15237"/>
    <w:rsid w:val="00F1746C"/>
    <w:rsid w:val="00F2176A"/>
    <w:rsid w:val="00F24AA8"/>
    <w:rsid w:val="00F276B0"/>
    <w:rsid w:val="00F27FA4"/>
    <w:rsid w:val="00F30D88"/>
    <w:rsid w:val="00F33543"/>
    <w:rsid w:val="00F37C48"/>
    <w:rsid w:val="00F4020C"/>
    <w:rsid w:val="00F4337A"/>
    <w:rsid w:val="00F43574"/>
    <w:rsid w:val="00F45761"/>
    <w:rsid w:val="00F46694"/>
    <w:rsid w:val="00F47688"/>
    <w:rsid w:val="00F50841"/>
    <w:rsid w:val="00F51514"/>
    <w:rsid w:val="00F5666C"/>
    <w:rsid w:val="00F611B5"/>
    <w:rsid w:val="00F63009"/>
    <w:rsid w:val="00F630FD"/>
    <w:rsid w:val="00F66304"/>
    <w:rsid w:val="00F7207A"/>
    <w:rsid w:val="00F762C0"/>
    <w:rsid w:val="00F81C99"/>
    <w:rsid w:val="00F95C2F"/>
    <w:rsid w:val="00F96B7F"/>
    <w:rsid w:val="00FA041F"/>
    <w:rsid w:val="00FA71FD"/>
    <w:rsid w:val="00FC40EC"/>
    <w:rsid w:val="00FC4C66"/>
    <w:rsid w:val="00FC682B"/>
    <w:rsid w:val="00FD1AD3"/>
    <w:rsid w:val="00FD5E98"/>
    <w:rsid w:val="00FD65EB"/>
    <w:rsid w:val="00FE280A"/>
    <w:rsid w:val="00FE36BF"/>
    <w:rsid w:val="00FE41C7"/>
    <w:rsid w:val="00FE4302"/>
    <w:rsid w:val="00FF0A4E"/>
    <w:rsid w:val="00FF13CD"/>
    <w:rsid w:val="00FF27E2"/>
    <w:rsid w:val="00FF7901"/>
    <w:rsid w:val="00FF7D0B"/>
    <w:rsid w:val="016102A0"/>
    <w:rsid w:val="0327352A"/>
    <w:rsid w:val="03A425B8"/>
    <w:rsid w:val="04F01436"/>
    <w:rsid w:val="05A30871"/>
    <w:rsid w:val="09A92667"/>
    <w:rsid w:val="0BAA51B6"/>
    <w:rsid w:val="0BBA4FFF"/>
    <w:rsid w:val="0BC639A4"/>
    <w:rsid w:val="0BFD4703"/>
    <w:rsid w:val="0CDD0FA5"/>
    <w:rsid w:val="0D4E1EA3"/>
    <w:rsid w:val="0F9426B9"/>
    <w:rsid w:val="0FB26719"/>
    <w:rsid w:val="10190546"/>
    <w:rsid w:val="124675EC"/>
    <w:rsid w:val="13B23DE7"/>
    <w:rsid w:val="13F53078"/>
    <w:rsid w:val="144E4536"/>
    <w:rsid w:val="151E412B"/>
    <w:rsid w:val="17DB07D7"/>
    <w:rsid w:val="18D712CB"/>
    <w:rsid w:val="19370D5E"/>
    <w:rsid w:val="1A9F5AEC"/>
    <w:rsid w:val="21CD2F3E"/>
    <w:rsid w:val="2201708C"/>
    <w:rsid w:val="24027AF1"/>
    <w:rsid w:val="24341DF8"/>
    <w:rsid w:val="24F03A14"/>
    <w:rsid w:val="29F02801"/>
    <w:rsid w:val="2C994A91"/>
    <w:rsid w:val="2DE51610"/>
    <w:rsid w:val="2E3F51C4"/>
    <w:rsid w:val="2FB90FA6"/>
    <w:rsid w:val="31831ADE"/>
    <w:rsid w:val="318B0720"/>
    <w:rsid w:val="31CD2BC7"/>
    <w:rsid w:val="34F52A80"/>
    <w:rsid w:val="383E029A"/>
    <w:rsid w:val="3E1201FF"/>
    <w:rsid w:val="3E8D3D29"/>
    <w:rsid w:val="3F8F762D"/>
    <w:rsid w:val="3FE23C01"/>
    <w:rsid w:val="401C35B7"/>
    <w:rsid w:val="4081166C"/>
    <w:rsid w:val="42044C64"/>
    <w:rsid w:val="422945EE"/>
    <w:rsid w:val="42E67EAC"/>
    <w:rsid w:val="4359242C"/>
    <w:rsid w:val="450B1E4C"/>
    <w:rsid w:val="455B5E97"/>
    <w:rsid w:val="46510BD4"/>
    <w:rsid w:val="49F96717"/>
    <w:rsid w:val="4B46773A"/>
    <w:rsid w:val="4C6F2CC0"/>
    <w:rsid w:val="4D2B2332"/>
    <w:rsid w:val="4F3A4FDF"/>
    <w:rsid w:val="50AA7C03"/>
    <w:rsid w:val="51B11685"/>
    <w:rsid w:val="52754DA9"/>
    <w:rsid w:val="52D715BF"/>
    <w:rsid w:val="551C775D"/>
    <w:rsid w:val="59BE7035"/>
    <w:rsid w:val="5CD56B70"/>
    <w:rsid w:val="5CE84AF5"/>
    <w:rsid w:val="5D0D02AF"/>
    <w:rsid w:val="5E623401"/>
    <w:rsid w:val="609F6427"/>
    <w:rsid w:val="61964E5B"/>
    <w:rsid w:val="61BD395C"/>
    <w:rsid w:val="640B02FF"/>
    <w:rsid w:val="64B04B1B"/>
    <w:rsid w:val="65BB267B"/>
    <w:rsid w:val="65CD09E5"/>
    <w:rsid w:val="66772A46"/>
    <w:rsid w:val="66E16111"/>
    <w:rsid w:val="67580AC9"/>
    <w:rsid w:val="678418BE"/>
    <w:rsid w:val="67B935DA"/>
    <w:rsid w:val="69D144F0"/>
    <w:rsid w:val="6A6432E1"/>
    <w:rsid w:val="6B914D41"/>
    <w:rsid w:val="6C7658E1"/>
    <w:rsid w:val="6C8163CC"/>
    <w:rsid w:val="6CA95923"/>
    <w:rsid w:val="6D3B350C"/>
    <w:rsid w:val="6EDB4CAF"/>
    <w:rsid w:val="73DC2C47"/>
    <w:rsid w:val="75267B11"/>
    <w:rsid w:val="77854EE9"/>
    <w:rsid w:val="795A4717"/>
    <w:rsid w:val="79C33EBB"/>
    <w:rsid w:val="7B670E83"/>
    <w:rsid w:val="7CAF2AE1"/>
    <w:rsid w:val="7D8375AA"/>
    <w:rsid w:val="7F25764A"/>
    <w:rsid w:val="7F4A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sz w:val="18"/>
      <w:szCs w:val="18"/>
    </w:r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批注文字 Char"/>
    <w:basedOn w:val="9"/>
    <w:link w:val="2"/>
    <w:semiHidden/>
    <w:qFormat/>
    <w:uiPriority w:val="99"/>
    <w:rPr>
      <w:sz w:val="28"/>
    </w:rPr>
  </w:style>
  <w:style w:type="character" w:customStyle="1" w:styleId="16">
    <w:name w:val="批注主题 Char"/>
    <w:basedOn w:val="15"/>
    <w:link w:val="6"/>
    <w:semiHidden/>
    <w:qFormat/>
    <w:uiPriority w:val="99"/>
    <w:rPr>
      <w:b/>
      <w:bCs/>
      <w:sz w:val="28"/>
    </w:rPr>
  </w:style>
  <w:style w:type="paragraph" w:styleId="17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19CA1-43F4-44C2-ACD0-C7E7348B13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46</Pages>
  <Words>2488</Words>
  <Characters>14186</Characters>
  <Lines>118</Lines>
  <Paragraphs>33</Paragraphs>
  <TotalTime>91</TotalTime>
  <ScaleCrop>false</ScaleCrop>
  <LinksUpToDate>false</LinksUpToDate>
  <CharactersWithSpaces>16641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2019-09-21T14:17:00Z</dcterms:created>
  <dc:creator>陈秀珍</dc:creator>
  <cp:lastModifiedBy>天天向上</cp:lastModifiedBy>
  <cp:lastPrinted>2019-12-26T01:17:00Z</cp:lastPrinted>
  <dcterms:modified xsi:type="dcterms:W3CDTF">2023-09-17T00:22:35Z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5A33CA3B626442A3BB6E9CB77B5BC4BA_12</vt:lpwstr>
  </property>
</Properties>
</file>